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0015" w14:textId="77777777" w:rsidR="00955E80" w:rsidRDefault="007142A8" w:rsidP="00955E80">
      <w:pPr>
        <w:spacing w:after="252" w:line="269" w:lineRule="auto"/>
        <w:ind w:left="-5" w:hanging="10"/>
        <w:jc w:val="center"/>
        <w:rPr>
          <w:rFonts w:ascii="Arial" w:eastAsia="Calibri" w:hAnsi="Arial" w:cs="Arial"/>
          <w:b/>
          <w:bCs/>
          <w:color w:val="000000"/>
          <w:lang w:eastAsia="nl-NL"/>
        </w:rPr>
      </w:pPr>
      <w:r w:rsidRPr="007142A8">
        <w:rPr>
          <w:rFonts w:ascii="Arial" w:eastAsia="Calibri" w:hAnsi="Arial" w:cs="Arial"/>
          <w:b/>
          <w:bCs/>
          <w:color w:val="000000"/>
          <w:lang w:eastAsia="nl-NL"/>
        </w:rPr>
        <w:t xml:space="preserve">Overzicht te vergoeden </w:t>
      </w:r>
      <w:proofErr w:type="spellStart"/>
      <w:r w:rsidRPr="007142A8">
        <w:rPr>
          <w:rFonts w:ascii="Arial" w:eastAsia="Calibri" w:hAnsi="Arial" w:cs="Arial"/>
          <w:b/>
          <w:bCs/>
          <w:color w:val="000000"/>
          <w:lang w:eastAsia="nl-NL"/>
        </w:rPr>
        <w:t>ZAV’s</w:t>
      </w:r>
      <w:proofErr w:type="spellEnd"/>
    </w:p>
    <w:p w14:paraId="1E0F8A9B" w14:textId="5B963E40" w:rsidR="007142A8" w:rsidRPr="00955E80" w:rsidRDefault="007142A8" w:rsidP="00955E80">
      <w:pPr>
        <w:spacing w:after="252" w:line="269" w:lineRule="auto"/>
        <w:ind w:left="-5" w:hanging="10"/>
        <w:rPr>
          <w:rFonts w:ascii="Arial" w:eastAsia="Calibri" w:hAnsi="Arial" w:cs="Arial"/>
          <w:b/>
          <w:bCs/>
          <w:color w:val="000000"/>
          <w:lang w:eastAsia="nl-NL"/>
        </w:rPr>
      </w:pPr>
      <w:r w:rsidRPr="003E66BA">
        <w:rPr>
          <w:rFonts w:ascii="Arial" w:eastAsia="Calibri" w:hAnsi="Arial" w:cs="Arial"/>
          <w:color w:val="000000"/>
          <w:sz w:val="20"/>
          <w:szCs w:val="20"/>
          <w:lang w:eastAsia="nl-NL"/>
        </w:rPr>
        <w:t xml:space="preserve">Onderstaand zijn voorzieningen opgenomen, waarvoor een vergoeding mogelijk is: </w:t>
      </w:r>
    </w:p>
    <w:p w14:paraId="55452C1B"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proofErr w:type="spellStart"/>
      <w:r w:rsidRPr="003E66BA">
        <w:rPr>
          <w:rFonts w:ascii="Arial" w:eastAsia="Calibri" w:hAnsi="Arial" w:cs="Arial"/>
          <w:color w:val="000000"/>
          <w:sz w:val="20"/>
          <w:szCs w:val="20"/>
          <w:lang w:eastAsia="nl-NL"/>
        </w:rPr>
        <w:t>CV-installatie</w:t>
      </w:r>
      <w:proofErr w:type="spellEnd"/>
      <w:r w:rsidRPr="003E66BA">
        <w:rPr>
          <w:rFonts w:ascii="Arial" w:eastAsia="Calibri" w:hAnsi="Arial" w:cs="Arial"/>
          <w:color w:val="000000"/>
          <w:sz w:val="20"/>
          <w:szCs w:val="20"/>
          <w:lang w:eastAsia="nl-NL"/>
        </w:rPr>
        <w:t xml:space="preserve"> (HR) </w:t>
      </w:r>
    </w:p>
    <w:p w14:paraId="59B9F2CE"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Dubbele beglazing (alleen HR++) </w:t>
      </w:r>
    </w:p>
    <w:p w14:paraId="4DA4B15C"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Isolatie dak </w:t>
      </w:r>
    </w:p>
    <w:p w14:paraId="4234FF2C"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Dakraam/dakkapel </w:t>
      </w:r>
    </w:p>
    <w:p w14:paraId="062E1248"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Stenen garage </w:t>
      </w:r>
    </w:p>
    <w:p w14:paraId="307FF8B9"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Vaste trap naar zolder </w:t>
      </w:r>
    </w:p>
    <w:p w14:paraId="38759D43" w14:textId="77777777" w:rsidR="007142A8" w:rsidRPr="003E66BA"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Aanbouw / serre van steen, direct aan woning verbonden </w:t>
      </w:r>
    </w:p>
    <w:p w14:paraId="131ED4D5" w14:textId="77777777" w:rsidR="007142A8"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Keuken - complete verbetering/vervanging (gedeeltelijk) afgeschreven keuken zonder </w:t>
      </w:r>
    </w:p>
    <w:p w14:paraId="20D7996A" w14:textId="77777777" w:rsidR="007142A8" w:rsidRPr="003E66BA" w:rsidRDefault="007142A8" w:rsidP="007142A8">
      <w:pPr>
        <w:spacing w:after="5" w:line="269" w:lineRule="auto"/>
        <w:ind w:left="708"/>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inbouwapparatuur (mede afhankelijk van leeftijd / niveau/ kwaliteit vorige keuken en niveau / kwaliteit nieuwe keuken; omdat er een besparing op onderhoud is voor TBV Wonen) </w:t>
      </w:r>
    </w:p>
    <w:p w14:paraId="0A254D87" w14:textId="77777777" w:rsidR="007142A8"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Toiletruimte (mede afhankelijk van leeftijd / niveau/ kwaliteit vorige toiletruimte en niveau / </w:t>
      </w:r>
    </w:p>
    <w:p w14:paraId="541BFB99" w14:textId="77777777" w:rsidR="007142A8" w:rsidRPr="003E66BA" w:rsidRDefault="007142A8" w:rsidP="007142A8">
      <w:pPr>
        <w:spacing w:after="5" w:line="269" w:lineRule="auto"/>
        <w:ind w:left="360" w:firstLine="348"/>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kwaliteit nieuw toilet; omdat er een besparing op onderhoud is voor TBV Wonen) </w:t>
      </w:r>
    </w:p>
    <w:p w14:paraId="50900854" w14:textId="77777777" w:rsidR="007142A8" w:rsidRDefault="007142A8" w:rsidP="007142A8">
      <w:pPr>
        <w:numPr>
          <w:ilvl w:val="0"/>
          <w:numId w:val="1"/>
        </w:numPr>
        <w:spacing w:after="5" w:line="26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Badkamer – complete verbetering/vervanging (gedeeltelijk) afgeschreven badkamer  </w:t>
      </w:r>
    </w:p>
    <w:p w14:paraId="409C5FFF" w14:textId="77777777" w:rsidR="007142A8" w:rsidRPr="003E66BA" w:rsidRDefault="007142A8" w:rsidP="007142A8">
      <w:pPr>
        <w:spacing w:after="5" w:line="269" w:lineRule="auto"/>
        <w:ind w:left="708"/>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(mede afhankelijk van leeftijd / niveau/ kwaliteit vorige badkamer en niveau / kwaliteit nieuwe badkamer; omdat er een besparing op onderhoud is voor TBV Wonen) </w:t>
      </w:r>
    </w:p>
    <w:p w14:paraId="5FD71D69" w14:textId="77777777" w:rsidR="00955E80" w:rsidRDefault="00955E80" w:rsidP="00955E80">
      <w:pPr>
        <w:spacing w:after="16" w:line="259" w:lineRule="auto"/>
        <w:rPr>
          <w:rFonts w:ascii="Arial" w:eastAsia="Calibri" w:hAnsi="Arial" w:cs="Arial"/>
          <w:color w:val="000000"/>
          <w:sz w:val="20"/>
          <w:szCs w:val="20"/>
          <w:lang w:eastAsia="nl-NL"/>
        </w:rPr>
      </w:pPr>
    </w:p>
    <w:p w14:paraId="3948B8DC" w14:textId="555959CE" w:rsidR="007142A8" w:rsidRDefault="007142A8" w:rsidP="00955E80">
      <w:pPr>
        <w:spacing w:after="16" w:line="259" w:lineRule="auto"/>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 xml:space="preserve">Voor de overige </w:t>
      </w:r>
      <w:proofErr w:type="spellStart"/>
      <w:r w:rsidRPr="003E66BA">
        <w:rPr>
          <w:rFonts w:ascii="Arial" w:eastAsia="Calibri" w:hAnsi="Arial" w:cs="Arial"/>
          <w:color w:val="000000"/>
          <w:sz w:val="20"/>
          <w:szCs w:val="20"/>
          <w:lang w:eastAsia="nl-NL"/>
        </w:rPr>
        <w:t>ZAV’s</w:t>
      </w:r>
      <w:proofErr w:type="spellEnd"/>
      <w:r w:rsidRPr="003E66BA">
        <w:rPr>
          <w:rFonts w:ascii="Arial" w:eastAsia="Calibri" w:hAnsi="Arial" w:cs="Arial"/>
          <w:color w:val="000000"/>
          <w:sz w:val="20"/>
          <w:szCs w:val="20"/>
          <w:lang w:eastAsia="nl-NL"/>
        </w:rPr>
        <w:t xml:space="preserve"> wordt géén vergoeding toegekend.  </w:t>
      </w:r>
    </w:p>
    <w:p w14:paraId="3408EC2D" w14:textId="77777777" w:rsidR="00955E80" w:rsidRDefault="00955E80" w:rsidP="00955E80">
      <w:pPr>
        <w:spacing w:after="16" w:line="259" w:lineRule="auto"/>
        <w:rPr>
          <w:rFonts w:ascii="Arial" w:eastAsia="Calibri" w:hAnsi="Arial" w:cs="Arial"/>
          <w:color w:val="000000"/>
          <w:sz w:val="20"/>
          <w:szCs w:val="20"/>
          <w:lang w:eastAsia="nl-NL"/>
        </w:rPr>
      </w:pPr>
    </w:p>
    <w:p w14:paraId="0D2FDD15" w14:textId="76D3E017" w:rsidR="007142A8" w:rsidRPr="00E96774" w:rsidRDefault="007142A8" w:rsidP="007142A8">
      <w:pPr>
        <w:spacing w:after="212" w:line="269" w:lineRule="auto"/>
        <w:ind w:left="-5" w:hanging="10"/>
        <w:rPr>
          <w:rFonts w:ascii="Arial" w:eastAsia="Calibri" w:hAnsi="Arial" w:cs="Arial"/>
          <w:color w:val="000000"/>
          <w:sz w:val="20"/>
          <w:szCs w:val="20"/>
          <w:lang w:eastAsia="nl-NL"/>
        </w:rPr>
      </w:pPr>
      <w:r w:rsidRPr="003E66BA">
        <w:rPr>
          <w:rFonts w:ascii="Arial" w:eastAsia="Calibri" w:hAnsi="Arial" w:cs="Arial"/>
          <w:color w:val="000000"/>
          <w:sz w:val="20"/>
          <w:szCs w:val="20"/>
          <w:lang w:eastAsia="nl-NL"/>
        </w:rPr>
        <w:t>Bij de hoogte van de vergoeding gaa</w:t>
      </w:r>
      <w:r>
        <w:rPr>
          <w:rFonts w:ascii="Arial" w:eastAsia="Calibri" w:hAnsi="Arial" w:cs="Arial"/>
          <w:color w:val="000000"/>
          <w:sz w:val="20"/>
          <w:szCs w:val="20"/>
          <w:lang w:eastAsia="nl-NL"/>
        </w:rPr>
        <w:t xml:space="preserve">t TBV Wonen </w:t>
      </w:r>
      <w:r w:rsidRPr="003E66BA">
        <w:rPr>
          <w:rFonts w:ascii="Arial" w:eastAsia="Calibri" w:hAnsi="Arial" w:cs="Arial"/>
          <w:color w:val="000000"/>
          <w:sz w:val="20"/>
          <w:szCs w:val="20"/>
          <w:lang w:eastAsia="nl-NL"/>
        </w:rPr>
        <w:t xml:space="preserve">uit van het bedrag dat we betaald zou hebben voor een vergelijkbare (standaard) verandering, gebaseerd op de materiaalkosten. Het maximum basisbedrag (dus zonder afschrijving) is nooit meer dan wat wij investeren in de standaard voorziening.  </w:t>
      </w:r>
      <w:r w:rsidRPr="00E96774">
        <w:rPr>
          <w:rFonts w:ascii="Arial" w:eastAsia="Calibri" w:hAnsi="Arial" w:cs="Arial"/>
          <w:color w:val="000000"/>
          <w:sz w:val="20"/>
          <w:szCs w:val="20"/>
          <w:lang w:eastAsia="nl-NL"/>
        </w:rPr>
        <w:t xml:space="preserve">In de onderstaande tabel wordt het vergoedingspercentage weergegeven (deze is gebaseerd op standaardniveau  van TBV Wonen: dus wat TBV Wonen bijvoorbeeld in een standaard keuken investeert). </w:t>
      </w:r>
    </w:p>
    <w:tbl>
      <w:tblPr>
        <w:tblStyle w:val="Tabelraster1"/>
        <w:tblW w:w="5706" w:type="dxa"/>
        <w:tblInd w:w="-78" w:type="dxa"/>
        <w:tblCellMar>
          <w:top w:w="47" w:type="dxa"/>
          <w:left w:w="68" w:type="dxa"/>
          <w:right w:w="115" w:type="dxa"/>
        </w:tblCellMar>
        <w:tblLook w:val="04A0" w:firstRow="1" w:lastRow="0" w:firstColumn="1" w:lastColumn="0" w:noHBand="0" w:noVBand="1"/>
      </w:tblPr>
      <w:tblGrid>
        <w:gridCol w:w="2954"/>
        <w:gridCol w:w="2752"/>
      </w:tblGrid>
      <w:tr w:rsidR="007142A8" w:rsidRPr="00CE27CE" w14:paraId="23F2D5AC" w14:textId="77777777" w:rsidTr="00B41F64">
        <w:trPr>
          <w:trHeight w:val="478"/>
        </w:trPr>
        <w:tc>
          <w:tcPr>
            <w:tcW w:w="2954" w:type="dxa"/>
            <w:tcBorders>
              <w:top w:val="single" w:sz="4" w:space="0" w:color="000000"/>
              <w:left w:val="single" w:sz="4" w:space="0" w:color="000000"/>
              <w:bottom w:val="single" w:sz="4" w:space="0" w:color="000000"/>
              <w:right w:val="single" w:sz="4" w:space="0" w:color="000000"/>
            </w:tcBorders>
            <w:shd w:val="clear" w:color="auto" w:fill="1F3864"/>
          </w:tcPr>
          <w:p w14:paraId="0041288D" w14:textId="77777777" w:rsidR="007142A8" w:rsidRPr="00CE27CE" w:rsidRDefault="007142A8" w:rsidP="00B41F64">
            <w:pPr>
              <w:spacing w:line="259" w:lineRule="auto"/>
              <w:ind w:left="43"/>
              <w:jc w:val="center"/>
              <w:rPr>
                <w:rFonts w:ascii="Arial" w:eastAsia="Calibri" w:hAnsi="Arial" w:cs="Arial"/>
                <w:color w:val="000000"/>
                <w:sz w:val="20"/>
                <w:szCs w:val="20"/>
              </w:rPr>
            </w:pPr>
            <w:r w:rsidRPr="00CE27CE">
              <w:rPr>
                <w:rFonts w:ascii="Arial" w:eastAsia="Calibri" w:hAnsi="Arial" w:cs="Arial"/>
                <w:color w:val="FFFFFF"/>
                <w:sz w:val="20"/>
                <w:szCs w:val="20"/>
              </w:rPr>
              <w:t xml:space="preserve">Ouderdom aanpassing </w:t>
            </w:r>
          </w:p>
        </w:tc>
        <w:tc>
          <w:tcPr>
            <w:tcW w:w="2752" w:type="dxa"/>
            <w:tcBorders>
              <w:top w:val="single" w:sz="4" w:space="0" w:color="000000"/>
              <w:left w:val="single" w:sz="4" w:space="0" w:color="000000"/>
              <w:bottom w:val="single" w:sz="4" w:space="0" w:color="000000"/>
              <w:right w:val="single" w:sz="4" w:space="0" w:color="000000"/>
            </w:tcBorders>
            <w:shd w:val="clear" w:color="auto" w:fill="1F3864"/>
          </w:tcPr>
          <w:p w14:paraId="5EBD6C5B" w14:textId="77777777" w:rsidR="007142A8" w:rsidRPr="00CE27CE" w:rsidRDefault="007142A8" w:rsidP="00B41F64">
            <w:pPr>
              <w:spacing w:line="259" w:lineRule="auto"/>
              <w:ind w:left="44"/>
              <w:jc w:val="center"/>
              <w:rPr>
                <w:rFonts w:ascii="Arial" w:eastAsia="Calibri" w:hAnsi="Arial" w:cs="Arial"/>
                <w:color w:val="000000"/>
                <w:sz w:val="20"/>
                <w:szCs w:val="20"/>
              </w:rPr>
            </w:pPr>
            <w:r w:rsidRPr="00CE27CE">
              <w:rPr>
                <w:rFonts w:ascii="Arial" w:eastAsia="Calibri" w:hAnsi="Arial" w:cs="Arial"/>
                <w:color w:val="FFFFFF"/>
                <w:sz w:val="20"/>
                <w:szCs w:val="20"/>
              </w:rPr>
              <w:t xml:space="preserve">% vergoeding </w:t>
            </w:r>
          </w:p>
        </w:tc>
      </w:tr>
      <w:tr w:rsidR="007142A8" w:rsidRPr="00CE27CE" w14:paraId="7F3840F5" w14:textId="77777777" w:rsidTr="00B41F64">
        <w:trPr>
          <w:trHeight w:val="520"/>
        </w:trPr>
        <w:tc>
          <w:tcPr>
            <w:tcW w:w="2954" w:type="dxa"/>
            <w:tcBorders>
              <w:top w:val="single" w:sz="4" w:space="0" w:color="000000"/>
              <w:left w:val="single" w:sz="4" w:space="0" w:color="000000"/>
              <w:bottom w:val="single" w:sz="4" w:space="0" w:color="000000"/>
              <w:right w:val="single" w:sz="4" w:space="0" w:color="000000"/>
            </w:tcBorders>
          </w:tcPr>
          <w:p w14:paraId="35FBFDF4"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Tot en met 1 jaar </w:t>
            </w:r>
          </w:p>
        </w:tc>
        <w:tc>
          <w:tcPr>
            <w:tcW w:w="2752" w:type="dxa"/>
            <w:tcBorders>
              <w:top w:val="single" w:sz="4" w:space="0" w:color="000000"/>
              <w:left w:val="single" w:sz="4" w:space="0" w:color="000000"/>
              <w:bottom w:val="single" w:sz="4" w:space="0" w:color="000000"/>
              <w:right w:val="single" w:sz="4" w:space="0" w:color="000000"/>
            </w:tcBorders>
          </w:tcPr>
          <w:p w14:paraId="1F4A44A5" w14:textId="77777777" w:rsidR="007142A8" w:rsidRPr="00CE27CE" w:rsidRDefault="007142A8" w:rsidP="00B41F64">
            <w:pPr>
              <w:spacing w:line="259" w:lineRule="auto"/>
              <w:ind w:left="44"/>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90 % </w:t>
            </w:r>
          </w:p>
        </w:tc>
      </w:tr>
      <w:tr w:rsidR="007142A8" w:rsidRPr="00CE27CE" w14:paraId="28153FED"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2C210119"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1 en 2 jaar </w:t>
            </w:r>
          </w:p>
        </w:tc>
        <w:tc>
          <w:tcPr>
            <w:tcW w:w="2752" w:type="dxa"/>
            <w:tcBorders>
              <w:top w:val="single" w:sz="4" w:space="0" w:color="000000"/>
              <w:left w:val="single" w:sz="4" w:space="0" w:color="000000"/>
              <w:bottom w:val="single" w:sz="4" w:space="0" w:color="000000"/>
              <w:right w:val="single" w:sz="4" w:space="0" w:color="000000"/>
            </w:tcBorders>
          </w:tcPr>
          <w:p w14:paraId="0933ECEF"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80% </w:t>
            </w:r>
          </w:p>
        </w:tc>
      </w:tr>
      <w:tr w:rsidR="007142A8" w:rsidRPr="00CE27CE" w14:paraId="43CD1417"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52423C4A"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2 en 3 jaar </w:t>
            </w:r>
          </w:p>
        </w:tc>
        <w:tc>
          <w:tcPr>
            <w:tcW w:w="2752" w:type="dxa"/>
            <w:tcBorders>
              <w:top w:val="single" w:sz="4" w:space="0" w:color="000000"/>
              <w:left w:val="single" w:sz="4" w:space="0" w:color="000000"/>
              <w:bottom w:val="single" w:sz="4" w:space="0" w:color="000000"/>
              <w:right w:val="single" w:sz="4" w:space="0" w:color="000000"/>
            </w:tcBorders>
          </w:tcPr>
          <w:p w14:paraId="520FD0E0"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70% </w:t>
            </w:r>
          </w:p>
        </w:tc>
      </w:tr>
      <w:tr w:rsidR="007142A8" w:rsidRPr="00CE27CE" w14:paraId="36BE1EFE" w14:textId="77777777" w:rsidTr="00B41F64">
        <w:trPr>
          <w:trHeight w:val="519"/>
        </w:trPr>
        <w:tc>
          <w:tcPr>
            <w:tcW w:w="2954" w:type="dxa"/>
            <w:tcBorders>
              <w:top w:val="single" w:sz="4" w:space="0" w:color="000000"/>
              <w:left w:val="single" w:sz="4" w:space="0" w:color="000000"/>
              <w:bottom w:val="single" w:sz="4" w:space="0" w:color="000000"/>
              <w:right w:val="single" w:sz="4" w:space="0" w:color="000000"/>
            </w:tcBorders>
          </w:tcPr>
          <w:p w14:paraId="2D8893B8"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3 en 4 jaar </w:t>
            </w:r>
          </w:p>
        </w:tc>
        <w:tc>
          <w:tcPr>
            <w:tcW w:w="2752" w:type="dxa"/>
            <w:tcBorders>
              <w:top w:val="single" w:sz="4" w:space="0" w:color="000000"/>
              <w:left w:val="single" w:sz="4" w:space="0" w:color="000000"/>
              <w:bottom w:val="single" w:sz="4" w:space="0" w:color="000000"/>
              <w:right w:val="single" w:sz="4" w:space="0" w:color="000000"/>
            </w:tcBorders>
          </w:tcPr>
          <w:p w14:paraId="6B97B9C1"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60% </w:t>
            </w:r>
          </w:p>
        </w:tc>
      </w:tr>
      <w:tr w:rsidR="007142A8" w:rsidRPr="00CE27CE" w14:paraId="4D7073E5" w14:textId="77777777" w:rsidTr="00B41F64">
        <w:trPr>
          <w:trHeight w:val="521"/>
        </w:trPr>
        <w:tc>
          <w:tcPr>
            <w:tcW w:w="2954" w:type="dxa"/>
            <w:tcBorders>
              <w:top w:val="single" w:sz="4" w:space="0" w:color="000000"/>
              <w:left w:val="single" w:sz="4" w:space="0" w:color="000000"/>
              <w:bottom w:val="single" w:sz="4" w:space="0" w:color="000000"/>
              <w:right w:val="single" w:sz="4" w:space="0" w:color="000000"/>
            </w:tcBorders>
          </w:tcPr>
          <w:p w14:paraId="36B7D61C"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4 en 5 jaar </w:t>
            </w:r>
          </w:p>
        </w:tc>
        <w:tc>
          <w:tcPr>
            <w:tcW w:w="2752" w:type="dxa"/>
            <w:tcBorders>
              <w:top w:val="single" w:sz="4" w:space="0" w:color="000000"/>
              <w:left w:val="single" w:sz="4" w:space="0" w:color="000000"/>
              <w:bottom w:val="single" w:sz="4" w:space="0" w:color="000000"/>
              <w:right w:val="single" w:sz="4" w:space="0" w:color="000000"/>
            </w:tcBorders>
          </w:tcPr>
          <w:p w14:paraId="459DAFDC" w14:textId="77777777" w:rsidR="007142A8" w:rsidRPr="00CE27CE" w:rsidRDefault="007142A8" w:rsidP="00B41F64">
            <w:pPr>
              <w:spacing w:line="259" w:lineRule="auto"/>
              <w:ind w:left="44"/>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50 % </w:t>
            </w:r>
          </w:p>
        </w:tc>
      </w:tr>
      <w:tr w:rsidR="007142A8" w:rsidRPr="00CE27CE" w14:paraId="7307D471"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6E1B0463"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5 en 6 jaar </w:t>
            </w:r>
          </w:p>
        </w:tc>
        <w:tc>
          <w:tcPr>
            <w:tcW w:w="2752" w:type="dxa"/>
            <w:tcBorders>
              <w:top w:val="single" w:sz="4" w:space="0" w:color="000000"/>
              <w:left w:val="single" w:sz="4" w:space="0" w:color="000000"/>
              <w:bottom w:val="single" w:sz="4" w:space="0" w:color="000000"/>
              <w:right w:val="single" w:sz="4" w:space="0" w:color="000000"/>
            </w:tcBorders>
          </w:tcPr>
          <w:p w14:paraId="1D842EE5"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40% </w:t>
            </w:r>
          </w:p>
        </w:tc>
      </w:tr>
      <w:tr w:rsidR="007142A8" w:rsidRPr="00CE27CE" w14:paraId="6CABFE6E"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0E6DD74F"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6 en 7 jaar </w:t>
            </w:r>
          </w:p>
        </w:tc>
        <w:tc>
          <w:tcPr>
            <w:tcW w:w="2752" w:type="dxa"/>
            <w:tcBorders>
              <w:top w:val="single" w:sz="4" w:space="0" w:color="000000"/>
              <w:left w:val="single" w:sz="4" w:space="0" w:color="000000"/>
              <w:bottom w:val="single" w:sz="4" w:space="0" w:color="000000"/>
              <w:right w:val="single" w:sz="4" w:space="0" w:color="000000"/>
            </w:tcBorders>
          </w:tcPr>
          <w:p w14:paraId="26E9A6AD"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30% </w:t>
            </w:r>
          </w:p>
        </w:tc>
      </w:tr>
      <w:tr w:rsidR="007142A8" w:rsidRPr="00CE27CE" w14:paraId="5F3CF6AF"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1D4CBC06"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7 en 8 jaar </w:t>
            </w:r>
          </w:p>
        </w:tc>
        <w:tc>
          <w:tcPr>
            <w:tcW w:w="2752" w:type="dxa"/>
            <w:tcBorders>
              <w:top w:val="single" w:sz="4" w:space="0" w:color="000000"/>
              <w:left w:val="single" w:sz="4" w:space="0" w:color="000000"/>
              <w:bottom w:val="single" w:sz="4" w:space="0" w:color="000000"/>
              <w:right w:val="single" w:sz="4" w:space="0" w:color="000000"/>
            </w:tcBorders>
          </w:tcPr>
          <w:p w14:paraId="23D5E19D"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20% </w:t>
            </w:r>
          </w:p>
        </w:tc>
      </w:tr>
      <w:tr w:rsidR="007142A8" w:rsidRPr="00CE27CE" w14:paraId="546DF6ED" w14:textId="77777777" w:rsidTr="00B41F64">
        <w:trPr>
          <w:trHeight w:val="518"/>
        </w:trPr>
        <w:tc>
          <w:tcPr>
            <w:tcW w:w="2954" w:type="dxa"/>
            <w:tcBorders>
              <w:top w:val="single" w:sz="4" w:space="0" w:color="000000"/>
              <w:left w:val="single" w:sz="4" w:space="0" w:color="000000"/>
              <w:bottom w:val="single" w:sz="4" w:space="0" w:color="000000"/>
              <w:right w:val="single" w:sz="4" w:space="0" w:color="000000"/>
            </w:tcBorders>
          </w:tcPr>
          <w:p w14:paraId="40D08FAF"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t xml:space="preserve">Tussen 8 en 9 jaar </w:t>
            </w:r>
          </w:p>
        </w:tc>
        <w:tc>
          <w:tcPr>
            <w:tcW w:w="2752" w:type="dxa"/>
            <w:tcBorders>
              <w:top w:val="single" w:sz="4" w:space="0" w:color="000000"/>
              <w:left w:val="single" w:sz="4" w:space="0" w:color="000000"/>
              <w:bottom w:val="single" w:sz="4" w:space="0" w:color="000000"/>
              <w:right w:val="single" w:sz="4" w:space="0" w:color="000000"/>
            </w:tcBorders>
          </w:tcPr>
          <w:p w14:paraId="1C250CEF"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10% </w:t>
            </w:r>
          </w:p>
        </w:tc>
      </w:tr>
      <w:tr w:rsidR="007142A8" w:rsidRPr="00CE27CE" w14:paraId="330C6257" w14:textId="77777777" w:rsidTr="00B41F64">
        <w:trPr>
          <w:trHeight w:val="521"/>
        </w:trPr>
        <w:tc>
          <w:tcPr>
            <w:tcW w:w="2954" w:type="dxa"/>
            <w:tcBorders>
              <w:top w:val="single" w:sz="4" w:space="0" w:color="000000"/>
              <w:left w:val="single" w:sz="4" w:space="0" w:color="000000"/>
              <w:bottom w:val="single" w:sz="4" w:space="0" w:color="000000"/>
              <w:right w:val="single" w:sz="4" w:space="0" w:color="000000"/>
            </w:tcBorders>
          </w:tcPr>
          <w:p w14:paraId="19A6D497" w14:textId="77777777" w:rsidR="007142A8" w:rsidRPr="00CE27CE" w:rsidRDefault="007142A8" w:rsidP="00B41F64">
            <w:pPr>
              <w:spacing w:line="259" w:lineRule="auto"/>
              <w:rPr>
                <w:rFonts w:ascii="Arial" w:eastAsia="Calibri" w:hAnsi="Arial" w:cs="Arial"/>
                <w:color w:val="000000"/>
                <w:sz w:val="20"/>
                <w:szCs w:val="20"/>
              </w:rPr>
            </w:pPr>
            <w:r w:rsidRPr="00CE27CE">
              <w:rPr>
                <w:rFonts w:ascii="Arial" w:eastAsia="Calibri" w:hAnsi="Arial" w:cs="Arial"/>
                <w:color w:val="000000"/>
                <w:sz w:val="20"/>
                <w:szCs w:val="20"/>
              </w:rPr>
              <w:lastRenderedPageBreak/>
              <w:t xml:space="preserve">Tussen 9 en 10 jaar </w:t>
            </w:r>
          </w:p>
        </w:tc>
        <w:tc>
          <w:tcPr>
            <w:tcW w:w="2752" w:type="dxa"/>
            <w:tcBorders>
              <w:top w:val="single" w:sz="4" w:space="0" w:color="000000"/>
              <w:left w:val="single" w:sz="4" w:space="0" w:color="000000"/>
              <w:bottom w:val="single" w:sz="4" w:space="0" w:color="000000"/>
              <w:right w:val="single" w:sz="4" w:space="0" w:color="000000"/>
            </w:tcBorders>
          </w:tcPr>
          <w:p w14:paraId="30366D50" w14:textId="77777777" w:rsidR="007142A8" w:rsidRPr="00CE27CE" w:rsidRDefault="007142A8" w:rsidP="00B41F64">
            <w:pPr>
              <w:spacing w:line="259" w:lineRule="auto"/>
              <w:ind w:left="47"/>
              <w:jc w:val="center"/>
              <w:rPr>
                <w:rFonts w:ascii="Arial" w:eastAsia="Calibri" w:hAnsi="Arial" w:cs="Arial"/>
                <w:color w:val="000000"/>
                <w:sz w:val="20"/>
                <w:szCs w:val="20"/>
              </w:rPr>
            </w:pPr>
            <w:r w:rsidRPr="00CE27CE">
              <w:rPr>
                <w:rFonts w:ascii="Arial" w:eastAsia="Calibri" w:hAnsi="Arial" w:cs="Arial"/>
                <w:color w:val="000000"/>
                <w:sz w:val="20"/>
                <w:szCs w:val="20"/>
              </w:rPr>
              <w:t xml:space="preserve">5% </w:t>
            </w:r>
          </w:p>
        </w:tc>
      </w:tr>
    </w:tbl>
    <w:p w14:paraId="48F21819" w14:textId="77777777" w:rsidR="007142A8" w:rsidRDefault="007142A8" w:rsidP="00955E80"/>
    <w:sectPr w:rsidR="00714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34771"/>
    <w:multiLevelType w:val="hybridMultilevel"/>
    <w:tmpl w:val="F10E27FA"/>
    <w:lvl w:ilvl="0" w:tplc="10085D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E45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CE0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A98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CEA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B451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486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899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EC69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3413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A8"/>
    <w:rsid w:val="006867B2"/>
    <w:rsid w:val="007142A8"/>
    <w:rsid w:val="00955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8EF9"/>
  <w15:chartTrackingRefBased/>
  <w15:docId w15:val="{400E74B1-3072-47F9-90BD-F1912CB0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42A8"/>
  </w:style>
  <w:style w:type="paragraph" w:styleId="Kop1">
    <w:name w:val="heading 1"/>
    <w:basedOn w:val="Standaard"/>
    <w:next w:val="Standaard"/>
    <w:link w:val="Kop1Char"/>
    <w:uiPriority w:val="9"/>
    <w:qFormat/>
    <w:rsid w:val="00714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4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42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42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42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42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2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2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2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2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42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42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42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42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42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2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2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2A8"/>
    <w:rPr>
      <w:rFonts w:eastAsiaTheme="majorEastAsia" w:cstheme="majorBidi"/>
      <w:color w:val="272727" w:themeColor="text1" w:themeTint="D8"/>
    </w:rPr>
  </w:style>
  <w:style w:type="paragraph" w:styleId="Titel">
    <w:name w:val="Title"/>
    <w:basedOn w:val="Standaard"/>
    <w:next w:val="Standaard"/>
    <w:link w:val="TitelChar"/>
    <w:uiPriority w:val="10"/>
    <w:qFormat/>
    <w:rsid w:val="00714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2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2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2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2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2A8"/>
    <w:rPr>
      <w:i/>
      <w:iCs/>
      <w:color w:val="404040" w:themeColor="text1" w:themeTint="BF"/>
    </w:rPr>
  </w:style>
  <w:style w:type="paragraph" w:styleId="Lijstalinea">
    <w:name w:val="List Paragraph"/>
    <w:basedOn w:val="Standaard"/>
    <w:uiPriority w:val="34"/>
    <w:qFormat/>
    <w:rsid w:val="007142A8"/>
    <w:pPr>
      <w:ind w:left="720"/>
      <w:contextualSpacing/>
    </w:pPr>
  </w:style>
  <w:style w:type="character" w:styleId="Intensievebenadrukking">
    <w:name w:val="Intense Emphasis"/>
    <w:basedOn w:val="Standaardalinea-lettertype"/>
    <w:uiPriority w:val="21"/>
    <w:qFormat/>
    <w:rsid w:val="007142A8"/>
    <w:rPr>
      <w:i/>
      <w:iCs/>
      <w:color w:val="0F4761" w:themeColor="accent1" w:themeShade="BF"/>
    </w:rPr>
  </w:style>
  <w:style w:type="paragraph" w:styleId="Duidelijkcitaat">
    <w:name w:val="Intense Quote"/>
    <w:basedOn w:val="Standaard"/>
    <w:next w:val="Standaard"/>
    <w:link w:val="DuidelijkcitaatChar"/>
    <w:uiPriority w:val="30"/>
    <w:qFormat/>
    <w:rsid w:val="00714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42A8"/>
    <w:rPr>
      <w:i/>
      <w:iCs/>
      <w:color w:val="0F4761" w:themeColor="accent1" w:themeShade="BF"/>
    </w:rPr>
  </w:style>
  <w:style w:type="character" w:styleId="Intensieveverwijzing">
    <w:name w:val="Intense Reference"/>
    <w:basedOn w:val="Standaardalinea-lettertype"/>
    <w:uiPriority w:val="32"/>
    <w:qFormat/>
    <w:rsid w:val="007142A8"/>
    <w:rPr>
      <w:b/>
      <w:bCs/>
      <w:smallCaps/>
      <w:color w:val="0F4761" w:themeColor="accent1" w:themeShade="BF"/>
      <w:spacing w:val="5"/>
    </w:rPr>
  </w:style>
  <w:style w:type="table" w:customStyle="1" w:styleId="Tabelraster1">
    <w:name w:val="Tabelraster1"/>
    <w:rsid w:val="007142A8"/>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278</Words>
  <Characters>1531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 Biemans</dc:creator>
  <cp:keywords/>
  <dc:description/>
  <cp:lastModifiedBy>Ati Biemans</cp:lastModifiedBy>
  <cp:revision>2</cp:revision>
  <dcterms:created xsi:type="dcterms:W3CDTF">2025-05-12T09:17:00Z</dcterms:created>
  <dcterms:modified xsi:type="dcterms:W3CDTF">2025-05-12T10:51:00Z</dcterms:modified>
</cp:coreProperties>
</file>